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Pragmatic GRC™</w:t>
        <w:br/>
      </w:r>
      <w:r>
        <w:rPr>
          <w:b/>
          <w:sz w:val="40"/>
        </w:rPr>
        <w:t>F-003</w:t>
        <w:br/>
        <w:t>Executive GRC Program Charter</w:t>
        <w:br/>
      </w:r>
    </w:p>
    <w:p>
      <w:pPr>
        <w:pStyle w:val="Subtitle"/>
      </w:pPr>
      <w:r>
        <w:t>Executive Charter Package | Version 2.0</w:t>
      </w:r>
    </w:p>
    <w:p>
      <w:pPr>
        <w:pStyle w:val="Heading1"/>
      </w:pPr>
      <w:r>
        <w:t>One-Page Executive Summary</w:t>
      </w:r>
    </w:p>
    <w:p>
      <w:r>
        <w:t>This charter formally establishes the organization's Governance, Risk, and Compliance (GRC) program. It authorizes leadership to implement the Pragmatic GRC™ Methodology, establishes accountability, and commits the organization to maintaining governance as an ongoing business capability.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Business Driver</w:t>
            </w:r>
          </w:p>
        </w:tc>
        <w:tc>
          <w:tcPr>
            <w:tcW w:type="dxa" w:w="4320"/>
          </w:tcPr>
          <w:p>
            <w:r>
              <w:t>Expected Outcome</w:t>
            </w:r>
          </w:p>
        </w:tc>
      </w:tr>
      <w:tr>
        <w:tc>
          <w:tcPr>
            <w:tcW w:type="dxa" w:w="4320"/>
          </w:tcPr>
          <w:p>
            <w:r>
              <w:t>Protect critical assets</w:t>
            </w:r>
          </w:p>
        </w:tc>
        <w:tc>
          <w:tcPr>
            <w:tcW w:type="dxa" w:w="4320"/>
          </w:tcPr>
          <w:p>
            <w:r>
              <w:t>Improved operational resilience</w:t>
            </w:r>
          </w:p>
        </w:tc>
      </w:tr>
      <w:tr>
        <w:tc>
          <w:tcPr>
            <w:tcW w:type="dxa" w:w="4320"/>
          </w:tcPr>
          <w:p>
            <w:r>
              <w:t>Manage business risk</w:t>
            </w:r>
          </w:p>
        </w:tc>
        <w:tc>
          <w:tcPr>
            <w:tcW w:type="dxa" w:w="4320"/>
          </w:tcPr>
          <w:p>
            <w:r>
              <w:t>Better executive decisions</w:t>
            </w:r>
          </w:p>
        </w:tc>
      </w:tr>
      <w:tr>
        <w:tc>
          <w:tcPr>
            <w:tcW w:type="dxa" w:w="4320"/>
          </w:tcPr>
          <w:p>
            <w:r>
              <w:t>Improve cybersecurity</w:t>
            </w:r>
          </w:p>
        </w:tc>
        <w:tc>
          <w:tcPr>
            <w:tcW w:type="dxa" w:w="4320"/>
          </w:tcPr>
          <w:p>
            <w:r>
              <w:t>Reduced likelihood and impact of incidents</w:t>
            </w:r>
          </w:p>
        </w:tc>
      </w:tr>
      <w:tr>
        <w:tc>
          <w:tcPr>
            <w:tcW w:type="dxa" w:w="4320"/>
          </w:tcPr>
          <w:p>
            <w:r>
              <w:t>Support compliance</w:t>
            </w:r>
          </w:p>
        </w:tc>
        <w:tc>
          <w:tcPr>
            <w:tcW w:type="dxa" w:w="4320"/>
          </w:tcPr>
          <w:p>
            <w:r>
              <w:t>Consistent evidence and accountability</w:t>
            </w:r>
          </w:p>
        </w:tc>
      </w:tr>
    </w:tbl>
    <w:p>
      <w:pPr>
        <w:pStyle w:val="Heading1"/>
      </w:pPr>
      <w:r>
        <w:t>Governance Operating Model</w:t>
      </w:r>
    </w:p>
    <w:p>
      <w:r>
        <w:t>Executive Leadership</w:t>
        <w:br/>
        <w:t xml:space="preserve">        │</w:t>
        <w:br/>
        <w:t xml:space="preserve">        ▼</w:t>
        <w:br/>
        <w:t xml:space="preserve">   GRC Governance</w:t>
        <w:br/>
        <w:t xml:space="preserve">        │</w:t>
        <w:br/>
        <w:t xml:space="preserve"> ┌──────┼──────────────┐</w:t>
        <w:br/>
        <w:t xml:space="preserve"> ▼      ▼              ▼</w:t>
        <w:br/>
        <w:t>F-001  R-001        F-002</w:t>
        <w:br/>
        <w:t>Master Enterprise   Unified</w:t>
        <w:br/>
        <w:t>Asset  Risk         SSP</w:t>
        <w:br/>
        <w:t>Register Register</w:t>
        <w:br/>
        <w:t xml:space="preserve">        │</w:t>
        <w:br/>
        <w:t xml:space="preserve">        ▼</w:t>
        <w:br/>
        <w:t>Navigate • Fortify • Sustain • Cultivate</w:t>
        <w:br/>
        <w:t xml:space="preserve">        │</w:t>
        <w:br/>
        <w:t xml:space="preserve">        ▼</w:t>
        <w:br/>
        <w:t>Monthly GRC Heartbeat™ (G-002)</w:t>
        <w:br/>
        <w:t xml:space="preserve">        │</w:t>
        <w:br/>
        <w:t xml:space="preserve">        ▼</w:t>
        <w:br/>
        <w:t>Continual Improvement</w:t>
      </w:r>
    </w:p>
    <w:p>
      <w:pPr>
        <w:pStyle w:val="Heading1"/>
      </w:pPr>
      <w:r>
        <w:t>Program Purpose</w:t>
      </w:r>
    </w:p>
    <w:p>
      <w:r>
        <w:t>Define governance, assign accountability, identify and manage risk, protect business assets, and support continual improvement.</w:t>
      </w:r>
    </w:p>
    <w:p>
      <w:pPr>
        <w:pStyle w:val="Heading1"/>
      </w:pPr>
      <w:r>
        <w:t>RACI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Activity</w:t>
            </w:r>
          </w:p>
        </w:tc>
        <w:tc>
          <w:tcPr>
            <w:tcW w:type="dxa" w:w="1440"/>
          </w:tcPr>
          <w:p>
            <w:r>
              <w:t>Executive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IT/MSP</w:t>
            </w:r>
          </w:p>
        </w:tc>
        <w:tc>
          <w:tcPr>
            <w:tcW w:type="dxa" w:w="1440"/>
          </w:tcPr>
          <w:p>
            <w:r>
              <w:t>GRC Lead</w:t>
            </w:r>
          </w:p>
        </w:tc>
        <w:tc>
          <w:tcPr>
            <w:tcW w:type="dxa" w:w="1440"/>
          </w:tcPr>
          <w:p>
            <w:r>
              <w:t>Employees</w:t>
            </w:r>
          </w:p>
        </w:tc>
      </w:tr>
      <w:tr>
        <w:tc>
          <w:tcPr>
            <w:tcW w:type="dxa" w:w="1440"/>
          </w:tcPr>
          <w:p>
            <w:r>
              <w:t>Maintain Asset Register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Maintain Risk Register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Maintain SSP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Monthly Heartbeat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Incident Response</w:t>
            </w:r>
          </w:p>
        </w:tc>
        <w:tc>
          <w:tcPr>
            <w:tcW w:type="dxa" w:w="1440"/>
          </w:tcPr>
          <w:p>
            <w:r>
              <w:t>I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  <w:tr>
        <w:tc>
          <w:tcPr>
            <w:tcW w:type="dxa" w:w="1440"/>
          </w:tcPr>
          <w:p>
            <w:r>
              <w:t>Annual Review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C</w:t>
            </w:r>
          </w:p>
        </w:tc>
        <w:tc>
          <w:tcPr>
            <w:tcW w:type="dxa" w:w="1440"/>
          </w:tcPr>
          <w:p>
            <w:r>
              <w:t>R</w:t>
            </w:r>
          </w:p>
        </w:tc>
        <w:tc>
          <w:tcPr>
            <w:tcW w:type="dxa" w:w="1440"/>
          </w:tcPr>
          <w:p>
            <w:r>
              <w:t>I</w:t>
            </w:r>
          </w:p>
        </w:tc>
      </w:tr>
    </w:tbl>
    <w:p>
      <w:r>
        <w:t>Legend: R = Responsible, A = Accountable, C = Consulted, I = Informed.</w:t>
      </w:r>
    </w:p>
    <w:p>
      <w:pPr>
        <w:pStyle w:val="Heading1"/>
      </w:pPr>
      <w:r>
        <w:t>90-Day Implementation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Timeline</w:t>
            </w:r>
          </w:p>
        </w:tc>
        <w:tc>
          <w:tcPr>
            <w:tcW w:type="dxa" w:w="4320"/>
          </w:tcPr>
          <w:p>
            <w:r>
              <w:t>Deliverables</w:t>
            </w:r>
          </w:p>
        </w:tc>
      </w:tr>
      <w:tr>
        <w:tc>
          <w:tcPr>
            <w:tcW w:type="dxa" w:w="4320"/>
          </w:tcPr>
          <w:p>
            <w:r>
              <w:t>Days 1–30</w:t>
            </w:r>
          </w:p>
        </w:tc>
        <w:tc>
          <w:tcPr>
            <w:tcW w:type="dxa" w:w="4320"/>
          </w:tcPr>
          <w:p>
            <w:r>
              <w:t>Build F-001 Master Asset Register</w:t>
            </w:r>
          </w:p>
        </w:tc>
      </w:tr>
      <w:tr>
        <w:tc>
          <w:tcPr>
            <w:tcW w:type="dxa" w:w="4320"/>
          </w:tcPr>
          <w:p>
            <w:r>
              <w:t>Days 31–60</w:t>
            </w:r>
          </w:p>
        </w:tc>
        <w:tc>
          <w:tcPr>
            <w:tcW w:type="dxa" w:w="4320"/>
          </w:tcPr>
          <w:p>
            <w:r>
              <w:t>Complete R-001 Enterprise Risk Register</w:t>
            </w:r>
          </w:p>
        </w:tc>
      </w:tr>
      <w:tr>
        <w:tc>
          <w:tcPr>
            <w:tcW w:type="dxa" w:w="4320"/>
          </w:tcPr>
          <w:p>
            <w:r>
              <w:t>Days 61–70</w:t>
            </w:r>
          </w:p>
        </w:tc>
        <w:tc>
          <w:tcPr>
            <w:tcW w:type="dxa" w:w="4320"/>
          </w:tcPr>
          <w:p>
            <w:r>
              <w:t>Develop F-002 Unified System Security Plan</w:t>
            </w:r>
          </w:p>
        </w:tc>
      </w:tr>
      <w:tr>
        <w:tc>
          <w:tcPr>
            <w:tcW w:type="dxa" w:w="4320"/>
          </w:tcPr>
          <w:p>
            <w:r>
              <w:t>Days 71–80</w:t>
            </w:r>
          </w:p>
        </w:tc>
        <w:tc>
          <w:tcPr>
            <w:tcW w:type="dxa" w:w="4320"/>
          </w:tcPr>
          <w:p>
            <w:r>
              <w:t>Implement Cybersecurity Implementation Guide</w:t>
            </w:r>
          </w:p>
        </w:tc>
      </w:tr>
      <w:tr>
        <w:tc>
          <w:tcPr>
            <w:tcW w:type="dxa" w:w="4320"/>
          </w:tcPr>
          <w:p>
            <w:r>
              <w:t>Days 81–90</w:t>
            </w:r>
          </w:p>
        </w:tc>
        <w:tc>
          <w:tcPr>
            <w:tcW w:type="dxa" w:w="4320"/>
          </w:tcPr>
          <w:p>
            <w:r>
              <w:t>Implement Compliance Implementation Guide</w:t>
            </w:r>
          </w:p>
        </w:tc>
      </w:tr>
      <w:tr>
        <w:tc>
          <w:tcPr>
            <w:tcW w:type="dxa" w:w="4320"/>
          </w:tcPr>
          <w:p>
            <w:r>
              <w:t>Ongoing</w:t>
            </w:r>
          </w:p>
        </w:tc>
        <w:tc>
          <w:tcPr>
            <w:tcW w:type="dxa" w:w="4320"/>
          </w:tcPr>
          <w:p>
            <w:r>
              <w:t>Execute Monthly GRC Heartbeat™ and continual improvement</w:t>
            </w:r>
          </w:p>
        </w:tc>
      </w:tr>
    </w:tbl>
    <w:p>
      <w:pPr>
        <w:pStyle w:val="Heading1"/>
      </w:pPr>
      <w:r>
        <w:t>Executive Approval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Role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CEO / Owner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Executive Sponsor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GRC Program Owner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