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Pragmatic GRC™</w:t>
      </w:r>
    </w:p>
    <w:p>
      <w:pPr>
        <w:jc w:val="center"/>
      </w:pPr>
      <w:r>
        <w:rPr>
          <w:b/>
        </w:rPr>
        <w:t>F-001</w:t>
        <w:br/>
      </w:r>
      <w:r>
        <w:rPr>
          <w:b/>
        </w:rPr>
        <w:t>Master Asset Register</w:t>
        <w:br/>
      </w:r>
      <w:r>
        <w:t>Resource Family: Foundation</w:t>
        <w:br/>
        <w:t>Version 1.0</w:t>
        <w:br/>
        <w:t>A Practical Implementation Guide</w:t>
      </w:r>
    </w:p>
    <w:p>
      <w:r>
        <w:br w:type="page"/>
      </w:r>
    </w:p>
    <w:p>
      <w:pPr>
        <w:pStyle w:val="Heading1"/>
      </w:pPr>
      <w:r>
        <w:t>Document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Item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Resource ID</w:t>
            </w:r>
          </w:p>
        </w:tc>
        <w:tc>
          <w:tcPr>
            <w:tcW w:type="dxa" w:w="4320"/>
          </w:tcPr>
          <w:p>
            <w:r>
              <w:t>F-001</w:t>
            </w:r>
          </w:p>
        </w:tc>
      </w:tr>
      <w:tr>
        <w:tc>
          <w:tcPr>
            <w:tcW w:type="dxa" w:w="4320"/>
          </w:tcPr>
          <w:p>
            <w:r>
              <w:t>Resource Family</w:t>
            </w:r>
          </w:p>
        </w:tc>
        <w:tc>
          <w:tcPr>
            <w:tcW w:type="dxa" w:w="4320"/>
          </w:tcPr>
          <w:p>
            <w:r>
              <w:t>Foundation</w:t>
            </w:r>
          </w:p>
        </w:tc>
      </w:tr>
      <w:tr>
        <w:tc>
          <w:tcPr>
            <w:tcW w:type="dxa" w:w="4320"/>
          </w:tcPr>
          <w:p>
            <w:r>
              <w:t>Version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Initial Release</w:t>
            </w:r>
          </w:p>
        </w:tc>
      </w:tr>
      <w:tr>
        <w:tc>
          <w:tcPr>
            <w:tcW w:type="dxa" w:w="4320"/>
          </w:tcPr>
          <w:p>
            <w:r>
              <w:t>Related Chapters</w:t>
            </w:r>
          </w:p>
        </w:tc>
        <w:tc>
          <w:tcPr>
            <w:tcW w:type="dxa" w:w="4320"/>
          </w:tcPr>
          <w:p>
            <w:r>
              <w:t>1, 2, 4, 6, 7</w:t>
            </w:r>
          </w:p>
        </w:tc>
      </w:tr>
      <w:tr>
        <w:tc>
          <w:tcPr>
            <w:tcW w:type="dxa" w:w="4320"/>
          </w:tcPr>
          <w:p>
            <w:r>
              <w:t>Related Resources</w:t>
            </w:r>
          </w:p>
        </w:tc>
        <w:tc>
          <w:tcPr>
            <w:tcW w:type="dxa" w:w="4320"/>
          </w:tcPr>
          <w:p>
            <w:r>
              <w:t>F-002, R-001, G-002</w:t>
            </w:r>
          </w:p>
        </w:tc>
      </w:tr>
    </w:tbl>
    <w:p>
      <w:pPr>
        <w:pStyle w:val="Heading1"/>
      </w:pPr>
      <w:r>
        <w:t>1. Purpose</w:t>
      </w:r>
    </w:p>
    <w:p>
      <w:r>
        <w:t>The Master Asset Register is the authoritative inventory of the organization's business assets. It establishes a single source of truth for the assets that enable the organization to operate and supports governance, risk management, cybersecurity, business continuity, and compliance.</w:t>
      </w:r>
    </w:p>
    <w:p>
      <w:pPr>
        <w:pStyle w:val="Heading1"/>
      </w:pPr>
      <w:r>
        <w:t>2. Why This Resource Matters</w:t>
      </w:r>
    </w:p>
    <w:p>
      <w:r>
        <w:t>You cannot protect, manage, or recover assets that have not been identified. A complete asset register provides visibility into business systems, information, cloud services, vendors, facilities, business processes, and critical personnel.</w:t>
      </w:r>
    </w:p>
    <w:p>
      <w:pPr>
        <w:pStyle w:val="Heading1"/>
      </w:pPr>
      <w:r>
        <w:t>3. When to Use This Resource</w:t>
      </w:r>
    </w:p>
    <w:p>
      <w:r>
        <w:t>Use this register when implementing a new GRC program, onboarding new technology, conducting risk assessments, planning disaster recovery, preparing for audits, or reviewing assets during the Monthly GRC Heartbeat™.</w:t>
      </w:r>
    </w:p>
    <w:p>
      <w:pPr>
        <w:pStyle w:val="Heading1"/>
      </w:pPr>
      <w:r>
        <w:t>4. How to Use This Resource</w:t>
      </w:r>
    </w:p>
    <w:p>
      <w:r>
        <w:t>Begin by identifying your most critical assets. Record ownership, location, criticality, and business purpose. Update the register whenever significant business or technology changes occur.</w:t>
      </w:r>
    </w:p>
    <w:p>
      <w:pPr>
        <w:pStyle w:val="Heading1"/>
      </w:pPr>
      <w:r>
        <w:t>5. Recommended Asset Categories</w:t>
      </w:r>
    </w:p>
    <w:p>
      <w:r>
        <w:t>• Information Assets</w:t>
        <w:br/>
        <w:t>• Hardware</w:t>
        <w:br/>
        <w:t>• Software</w:t>
        <w:br/>
        <w:t>• Cloud Services</w:t>
        <w:br/>
        <w:t>• Third-Party Vendors</w:t>
        <w:br/>
        <w:t>• Business Processes</w:t>
        <w:br/>
        <w:t>• Facilities</w:t>
        <w:br/>
        <w:t>• Personnel</w:t>
        <w:br/>
        <w:t>• AI Systems</w:t>
      </w:r>
    </w:p>
    <w:p>
      <w:pPr>
        <w:pStyle w:val="Heading1"/>
      </w:pPr>
      <w:r>
        <w:t>6. Recommended Register Fields</w:t>
      </w:r>
    </w:p>
    <w:p>
      <w:r>
        <w:t>Asset ID, Asset Name, Category, Business Owner, Technical Owner, Department, Location, Criticality, Confidentiality, Integrity, Availability, Recovery Priority, Related Risks, Compliance Requirements, Notes.</w:t>
      </w:r>
    </w:p>
    <w:p>
      <w:pPr>
        <w:pStyle w:val="Heading1"/>
      </w:pPr>
      <w:r>
        <w:t>7. Best Practices</w:t>
      </w:r>
    </w:p>
    <w:p>
      <w:r>
        <w:t>Review the register monthly, assign ownership to every asset, remove retired assets, and use consistent naming conventions.</w:t>
      </w:r>
    </w:p>
    <w:p>
      <w:pPr>
        <w:pStyle w:val="Heading1"/>
      </w:pPr>
      <w:r>
        <w:t>8. Common Mistakes</w:t>
      </w:r>
    </w:p>
    <w:p>
      <w:r>
        <w:t>Common mistakes include tracking only IT assets, ignoring SaaS platforms, failing to identify owners, and allowing the register to become outdated.</w:t>
      </w:r>
    </w:p>
    <w:p>
      <w:pPr>
        <w:pStyle w:val="Heading1"/>
      </w:pPr>
      <w:r>
        <w:t>9. Related Resources</w:t>
      </w:r>
    </w:p>
    <w:p>
      <w:r>
        <w:t>F-002 – Unified System Security Plan</w:t>
        <w:br/>
        <w:t>R-001 – Enterprise Risk Register</w:t>
        <w:br/>
        <w:t>G-002 – Monthly GRC Heartbeat™ Checklist</w:t>
      </w:r>
    </w:p>
    <w:p>
      <w:pPr>
        <w:pStyle w:val="Heading1"/>
      </w:pPr>
      <w:r>
        <w:t>Figure 1. Business Asset Categories</w:t>
      </w:r>
    </w:p>
    <w:p>
      <w:r>
        <w:t>Business Assets</w:t>
        <w:br/>
        <w:t xml:space="preserve">    │</w:t>
        <w:br/>
        <w:t>├─ Information</w:t>
        <w:br/>
        <w:t>├─ Hardware</w:t>
        <w:br/>
        <w:t>├─ Software</w:t>
        <w:br/>
        <w:t>├─ Cloud Services</w:t>
        <w:br/>
        <w:t>├─ Vendors</w:t>
        <w:br/>
        <w:t>├─ Business Processes</w:t>
        <w:br/>
        <w:t>├─ Facilities</w:t>
        <w:br/>
        <w:t>├─ Personnel</w:t>
        <w:br/>
        <w:t>└─ AI Systems</w:t>
        <w:br/>
        <w:br/>
        <w:t xml:space="preserve">             ↓</w:t>
        <w:br/>
        <w:br/>
        <w:t xml:space="preserve">      Master Asset Register</w:t>
      </w:r>
    </w:p>
    <w:p>
      <w:r>
        <w:br w:type="page"/>
      </w:r>
    </w:p>
    <w:p>
      <w:pPr>
        <w:pStyle w:val="Heading1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Initial Release</w:t>
            </w:r>
          </w:p>
        </w:tc>
        <w:tc>
          <w:tcPr>
            <w:tcW w:type="dxa" w:w="2160"/>
          </w:tcPr>
          <w:p>
            <w:r>
              <w:t>Pragmatic GRC</w:t>
            </w:r>
          </w:p>
        </w:tc>
        <w:tc>
          <w:tcPr>
            <w:tcW w:type="dxa" w:w="2160"/>
          </w:tcPr>
          <w:p>
            <w:r>
              <w:t>First publication.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